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5FDC3" w14:textId="77777777" w:rsidR="00017F26" w:rsidRDefault="00017F26" w:rsidP="00105321">
      <w:pPr>
        <w:jc w:val="left"/>
      </w:pPr>
    </w:p>
    <w:p w14:paraId="3432583B" w14:textId="21BCA155" w:rsidR="00105321" w:rsidRDefault="00C544A0" w:rsidP="00105321">
      <w:pPr>
        <w:jc w:val="left"/>
      </w:pPr>
      <w:r>
        <w:rPr>
          <w:rFonts w:hint="eastAsia"/>
        </w:rPr>
        <w:t>본 문서는 2024년 3월부로 변경된 닌하이드린 반응액에 대한 변경점과 사용법을 다룹니다.</w:t>
      </w:r>
    </w:p>
    <w:p w14:paraId="2455D9B8" w14:textId="314D645C" w:rsidR="00105321" w:rsidRDefault="00105321" w:rsidP="00105321">
      <w:pPr>
        <w:jc w:val="left"/>
      </w:pPr>
      <w:r>
        <w:rPr>
          <w:rFonts w:hint="eastAsia"/>
        </w:rPr>
        <w:t xml:space="preserve">기존 </w:t>
      </w:r>
      <w:r>
        <w:t>㈜</w:t>
      </w:r>
      <w:r>
        <w:rPr>
          <w:rFonts w:hint="eastAsia"/>
        </w:rPr>
        <w:t xml:space="preserve">아주과학에서 생산 및 납품해온 닌하이드린 반응액(Ninhydrin Reagent)의 경우 제품 생산 과정에서 환원제(reducing Agent)를 첨가하여 생산하였습니다. </w:t>
      </w:r>
    </w:p>
    <w:p w14:paraId="615A7174" w14:textId="33A8AFFB" w:rsidR="00105321" w:rsidRDefault="00105321" w:rsidP="00105321">
      <w:pPr>
        <w:ind w:left="200" w:hangingChars="100" w:hanging="200"/>
        <w:jc w:val="left"/>
      </w:pPr>
      <w:r>
        <w:rPr>
          <w:rFonts w:hint="eastAsia"/>
        </w:rPr>
        <w:t>이러한 생산과정은 닌하이드린의 빠른 열화를 야기했으며 냉장보관 상태서 3주 이내로 1% 이상의 Peak Area 감소가 발생하였으며 베이스라인 노이즈가 증가하는 문제가 보고됐습니다.</w:t>
      </w:r>
    </w:p>
    <w:p w14:paraId="31C3D572" w14:textId="039FA064" w:rsidR="00105321" w:rsidRDefault="00105321" w:rsidP="00105321">
      <w:pPr>
        <w:ind w:left="200" w:hangingChars="100" w:hanging="200"/>
        <w:jc w:val="left"/>
      </w:pPr>
      <w:r>
        <w:rPr>
          <w:rFonts w:hint="eastAsia"/>
        </w:rPr>
        <w:t>따라서 이러한 문제에 대응하기 위해 2024년 3월 3주차 생산 제품군(Lot No.: 2403002)부터는 닌하이드린 반응액과 환원제를 개별 포장하며 발송중에 있습니다.</w:t>
      </w:r>
    </w:p>
    <w:p w14:paraId="5AD50AE3" w14:textId="124C64EB" w:rsidR="00105321" w:rsidRDefault="00105321" w:rsidP="00105321">
      <w:pPr>
        <w:ind w:left="200" w:hangingChars="100" w:hanging="200"/>
        <w:jc w:val="left"/>
      </w:pPr>
      <w:r>
        <w:rPr>
          <w:rFonts w:hint="eastAsia"/>
        </w:rPr>
        <w:t>이러한 개별 포장을 통한 환원제 분리는 다음과 같은 장점을 가집니다.</w:t>
      </w:r>
    </w:p>
    <w:p w14:paraId="78BB1584" w14:textId="7D981419" w:rsidR="00105321" w:rsidRDefault="00105321" w:rsidP="00105321">
      <w:pPr>
        <w:pStyle w:val="a6"/>
        <w:numPr>
          <w:ilvl w:val="0"/>
          <w:numId w:val="2"/>
        </w:numPr>
        <w:jc w:val="left"/>
      </w:pPr>
      <w:r>
        <w:rPr>
          <w:rFonts w:hint="eastAsia"/>
        </w:rPr>
        <w:t>환원제와 분리 냉장 보관시 유통기한을 최대 6개월 까지 사용가능</w:t>
      </w:r>
    </w:p>
    <w:p w14:paraId="543CD88A" w14:textId="77379034" w:rsidR="00105321" w:rsidRDefault="00105321" w:rsidP="00105321">
      <w:pPr>
        <w:pStyle w:val="a6"/>
        <w:numPr>
          <w:ilvl w:val="0"/>
          <w:numId w:val="2"/>
        </w:numPr>
        <w:jc w:val="left"/>
      </w:pPr>
      <w:r>
        <w:rPr>
          <w:rFonts w:hint="eastAsia"/>
        </w:rPr>
        <w:t>사용 직전에 환원제를 사용할 경우 최상의 분석 퍼포먼스 유지가능</w:t>
      </w:r>
    </w:p>
    <w:p w14:paraId="4CF4428F" w14:textId="77777777" w:rsidR="00105321" w:rsidRDefault="00105321" w:rsidP="00105321">
      <w:pPr>
        <w:jc w:val="left"/>
      </w:pPr>
    </w:p>
    <w:p w14:paraId="0B2C39C0" w14:textId="228EDF34" w:rsidR="00105321" w:rsidRDefault="00017F26" w:rsidP="00105321">
      <w:pPr>
        <w:jc w:val="left"/>
      </w:pPr>
      <w:r w:rsidRPr="00017F26">
        <w:rPr>
          <w:rFonts w:hint="eastAsia"/>
          <w:b/>
          <w:bCs/>
          <w:color w:val="FF0000"/>
        </w:rPr>
        <w:t>환원 용액(Reducing Agent)는 6N HCl에 염화 주석(II)가 포함된 용액으로 사용시 보호 장구를 착용하여야 합니다.</w:t>
      </w:r>
      <w:r>
        <w:br/>
      </w:r>
      <w:r>
        <w:br/>
      </w:r>
      <w:r w:rsidR="00105321">
        <w:rPr>
          <w:rFonts w:hint="eastAsia"/>
        </w:rPr>
        <w:t>변경된 닌하이드린 사용법은 아래와 같습니다.</w:t>
      </w:r>
    </w:p>
    <w:p w14:paraId="6A929E8E" w14:textId="43915EBC" w:rsidR="00105321" w:rsidRDefault="00105321" w:rsidP="00105321">
      <w:pPr>
        <w:pStyle w:val="a6"/>
        <w:numPr>
          <w:ilvl w:val="0"/>
          <w:numId w:val="3"/>
        </w:numPr>
        <w:jc w:val="left"/>
      </w:pPr>
      <w:r>
        <w:rPr>
          <w:rFonts w:hint="eastAsia"/>
        </w:rPr>
        <w:t>닌하이드린을 사용할 예정인 경우, 닌하이드린 용액을</w:t>
      </w:r>
      <w:r w:rsidR="00017F26">
        <w:rPr>
          <w:rFonts w:hint="eastAsia"/>
        </w:rPr>
        <w:t xml:space="preserve"> 사용중인 GL45 규격의 갈색유리병에 담는다.</w:t>
      </w:r>
    </w:p>
    <w:p w14:paraId="1168EC43" w14:textId="59B53229" w:rsidR="00017F26" w:rsidRDefault="00017F26" w:rsidP="00105321">
      <w:pPr>
        <w:pStyle w:val="a6"/>
        <w:numPr>
          <w:ilvl w:val="0"/>
          <w:numId w:val="3"/>
        </w:numPr>
        <w:jc w:val="left"/>
      </w:pPr>
      <w:r>
        <w:rPr>
          <w:rFonts w:hint="eastAsia"/>
        </w:rPr>
        <w:t>라테스 장갑 혹은 니트릴 장갑을 착용하고 동봉된 환원제 주사기의 마개를 연다.</w:t>
      </w:r>
    </w:p>
    <w:p w14:paraId="0666CA10" w14:textId="4976A754" w:rsidR="00017F26" w:rsidRDefault="00017F26" w:rsidP="00105321">
      <w:pPr>
        <w:pStyle w:val="a6"/>
        <w:numPr>
          <w:ilvl w:val="0"/>
          <w:numId w:val="3"/>
        </w:numPr>
        <w:jc w:val="left"/>
      </w:pPr>
      <w:r>
        <w:rPr>
          <w:rFonts w:hint="eastAsia"/>
        </w:rPr>
        <w:t xml:space="preserve">천천히 주사기를 눌러 닌하이드린 용액에 환원제 1 ml를 넣는다. </w:t>
      </w:r>
      <w:r>
        <w:br/>
      </w:r>
      <w:r w:rsidRPr="00017F26">
        <w:rPr>
          <w:rFonts w:hint="eastAsia"/>
          <w:b/>
          <w:bCs/>
          <w:color w:val="FF0000"/>
        </w:rPr>
        <w:t>*이때 반드시 보호기구를 착용하며 천천히 주사기를 눌러야 합니다.</w:t>
      </w:r>
    </w:p>
    <w:p w14:paraId="19E249F1" w14:textId="644B432A" w:rsidR="00017F26" w:rsidRDefault="00017F26" w:rsidP="00105321">
      <w:pPr>
        <w:pStyle w:val="a6"/>
        <w:numPr>
          <w:ilvl w:val="0"/>
          <w:numId w:val="3"/>
        </w:numPr>
        <w:jc w:val="left"/>
      </w:pPr>
      <w:r>
        <w:rPr>
          <w:rFonts w:hint="eastAsia"/>
        </w:rPr>
        <w:t>이후 병을 천천히 흔들어 잘 섞이게 해준 뒤 S7130 Organizer의 시약병 스크류캡을 닫는다.</w:t>
      </w:r>
    </w:p>
    <w:p w14:paraId="3EBFE284" w14:textId="1A613F96" w:rsidR="00017F26" w:rsidRDefault="00017F26" w:rsidP="00105321">
      <w:pPr>
        <w:pStyle w:val="a6"/>
        <w:numPr>
          <w:ilvl w:val="0"/>
          <w:numId w:val="3"/>
        </w:numPr>
        <w:jc w:val="left"/>
      </w:pPr>
      <w:r>
        <w:rPr>
          <w:rFonts w:hint="eastAsia"/>
        </w:rPr>
        <w:t>가스 압력이 0.5 ~ 1 bar 사이로 유지되는지 확인한다.</w:t>
      </w:r>
    </w:p>
    <w:p w14:paraId="06166BCB" w14:textId="31916DED" w:rsidR="00C544A0" w:rsidRDefault="00017F26" w:rsidP="00017F26">
      <w:pPr>
        <w:pStyle w:val="a6"/>
        <w:numPr>
          <w:ilvl w:val="0"/>
          <w:numId w:val="3"/>
        </w:numPr>
        <w:jc w:val="left"/>
      </w:pPr>
      <w:r>
        <w:rPr>
          <w:rFonts w:hint="eastAsia"/>
        </w:rPr>
        <w:t>이후 스크류 캡의 3, 4번 밸브를 열어 3~5분 방치해 용액 내 용존산소를 제거한다.</w:t>
      </w:r>
      <w:r>
        <w:br/>
      </w:r>
      <w:r>
        <w:rPr>
          <w:rFonts w:hint="eastAsia"/>
        </w:rPr>
        <w:t>* 3. N</w:t>
      </w:r>
      <w:r w:rsidRPr="00017F26">
        <w:rPr>
          <w:rFonts w:hint="eastAsia"/>
          <w:sz w:val="14"/>
          <w:szCs w:val="16"/>
        </w:rPr>
        <w:t>2</w:t>
      </w:r>
      <w:r>
        <w:rPr>
          <w:rFonts w:hint="eastAsia"/>
        </w:rPr>
        <w:t xml:space="preserve"> Flushing Line, 4. Gas Drain</w:t>
      </w:r>
    </w:p>
    <w:p w14:paraId="45ED3EB6" w14:textId="583C936D" w:rsidR="00017F26" w:rsidRDefault="00017F26" w:rsidP="00017F26">
      <w:pPr>
        <w:pStyle w:val="a6"/>
        <w:numPr>
          <w:ilvl w:val="0"/>
          <w:numId w:val="3"/>
        </w:numPr>
        <w:jc w:val="left"/>
      </w:pPr>
      <w:r>
        <w:rPr>
          <w:rFonts w:hint="eastAsia"/>
        </w:rPr>
        <w:t>충분히 퍼징했다면 3,4 번 밸브를 닫고 1, 2번 밸브를 열어 분석을 준비한다.</w:t>
      </w:r>
    </w:p>
    <w:p w14:paraId="7932338E" w14:textId="57EFBB34" w:rsidR="00717743" w:rsidRDefault="00017F26" w:rsidP="00017F26">
      <w:pPr>
        <w:ind w:left="440"/>
        <w:jc w:val="left"/>
        <w:rPr>
          <w:b/>
          <w:bCs/>
          <w:color w:val="FF0000"/>
        </w:rPr>
      </w:pPr>
      <w:r w:rsidRPr="00017F26">
        <w:rPr>
          <w:rFonts w:hint="eastAsia"/>
          <w:b/>
          <w:bCs/>
          <w:color w:val="FF0000"/>
        </w:rPr>
        <w:t>한번 활성화된 닌하이드린은 시간이 지남에 따라 지속적인 열화가 발생합니다.</w:t>
      </w:r>
      <w:r w:rsidRPr="00017F26">
        <w:rPr>
          <w:b/>
          <w:bCs/>
          <w:color w:val="FF0000"/>
        </w:rPr>
        <w:br/>
      </w:r>
      <w:r w:rsidRPr="00017F26">
        <w:rPr>
          <w:rFonts w:hint="eastAsia"/>
          <w:b/>
          <w:bCs/>
          <w:color w:val="FF0000"/>
        </w:rPr>
        <w:t>닌하이드린의 열화는 높은 베이스라인 노이즈와 피크 면적값의 감소를 야기합니다</w:t>
      </w:r>
      <w:r>
        <w:rPr>
          <w:rFonts w:hint="eastAsia"/>
          <w:b/>
          <w:bCs/>
          <w:color w:val="FF0000"/>
        </w:rPr>
        <w:t>.</w:t>
      </w:r>
      <w:r w:rsidRPr="00017F26">
        <w:rPr>
          <w:b/>
          <w:bCs/>
          <w:color w:val="FF0000"/>
        </w:rPr>
        <w:br/>
      </w:r>
    </w:p>
    <w:p w14:paraId="631025B6" w14:textId="7F45B450" w:rsidR="00717743" w:rsidRDefault="00717743" w:rsidP="00717743">
      <w:pPr>
        <w:ind w:firstLineChars="100" w:firstLine="200"/>
        <w:jc w:val="left"/>
      </w:pPr>
      <w:r>
        <w:rPr>
          <w:b/>
          <w:bCs/>
          <w:color w:val="FF0000"/>
        </w:rPr>
        <w:br w:type="column"/>
      </w:r>
      <w:r>
        <w:rPr>
          <w:rFonts w:hint="eastAsia"/>
        </w:rPr>
        <w:lastRenderedPageBreak/>
        <w:t>세부적인 사용방법은 다음과 같습니다.</w:t>
      </w:r>
    </w:p>
    <w:p w14:paraId="243BB648" w14:textId="2655B6D7" w:rsidR="00717743" w:rsidRDefault="00717743" w:rsidP="00717743">
      <w:pPr>
        <w:ind w:leftChars="100" w:left="200"/>
        <w:jc w:val="left"/>
        <w:rPr>
          <w:rFonts w:hint="eastAsia"/>
        </w:rPr>
      </w:pPr>
      <w:r>
        <w:rPr>
          <w:rFonts w:hint="eastAsia"/>
        </w:rPr>
        <w:t>먼저 닌하이드린 용액을 위한 시약병과 스크류 캡은 다른 버퍼 용액을 위한 시약병과 스크류 캡 구조가 다릅니다.</w:t>
      </w:r>
      <w:r>
        <w:br/>
      </w:r>
      <w:r>
        <w:rPr>
          <w:rFonts w:hint="eastAsia"/>
        </w:rPr>
        <w:t>닌하이드린 시약병의 스크류캡에는 질소가스 퍼징을 위한 라인이 하나 더 있으며 구조는 아래와 같습니다.</w:t>
      </w:r>
    </w:p>
    <w:p w14:paraId="2A160E7C" w14:textId="3C772859" w:rsidR="00717743" w:rsidRDefault="00717743" w:rsidP="00717743">
      <w:pPr>
        <w:ind w:left="440"/>
      </w:pPr>
      <w:r>
        <w:br/>
      </w:r>
      <w:r>
        <w:rPr>
          <w:rFonts w:hint="eastAsia"/>
        </w:rPr>
        <w:t>위와</w:t>
      </w:r>
      <w:r w:rsidRPr="00717743">
        <w:drawing>
          <wp:anchor distT="0" distB="0" distL="114300" distR="114300" simplePos="0" relativeHeight="251658240" behindDoc="0" locked="0" layoutInCell="1" allowOverlap="1" wp14:anchorId="6CB30F77" wp14:editId="57DFF892">
            <wp:simplePos x="0" y="0"/>
            <wp:positionH relativeFrom="margin">
              <wp:align>left</wp:align>
            </wp:positionH>
            <wp:positionV relativeFrom="paragraph">
              <wp:posOffset>33655</wp:posOffset>
            </wp:positionV>
            <wp:extent cx="6591935" cy="4276725"/>
            <wp:effectExtent l="38100" t="38100" r="94615" b="104775"/>
            <wp:wrapTopAndBottom/>
            <wp:docPr id="220233550" name="그림 1" descr="텍스트, 스크린샷, 도표,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233550" name="그림 1" descr="텍스트, 스크린샷, 도표, 디자인이(가) 표시된 사진&#10;&#10;자동 생성된 설명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935" cy="4276725"/>
                    </a:xfrm>
                    <a:prstGeom prst="rect">
                      <a:avLst/>
                    </a:prstGeom>
                    <a:ln w="635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같이 질소가스 퍼징(Flushing)을 위한 라인은 3번 라인으로, 병 내부에 가스 라인이 추가로 존재합니다.</w:t>
      </w:r>
    </w:p>
    <w:p w14:paraId="19D44942" w14:textId="5841426A" w:rsidR="00902D99" w:rsidRPr="00717743" w:rsidRDefault="00717743" w:rsidP="00902D99">
      <w:pPr>
        <w:jc w:val="left"/>
        <w:rPr>
          <w:rFonts w:hint="eastAsia"/>
        </w:rPr>
      </w:pPr>
      <w:r>
        <w:rPr>
          <w:rFonts w:hint="eastAsia"/>
        </w:rPr>
        <w:t>닌하이드린 용액과 환원 용액을 섞은 후 용존 산소에 의한 열화를 방지하기 위해선 질소가스 퍼징이 필요합니다.</w:t>
      </w:r>
      <w:r>
        <w:br/>
      </w:r>
      <w:r>
        <w:rPr>
          <w:rFonts w:hint="eastAsia"/>
        </w:rPr>
        <w:t>질소가스 퍼징은 1, 2 번 밸브를 닫고 3, 4 번 밸브를 열어 2분간 방치함으로써 가능합니다.</w:t>
      </w:r>
      <w:r w:rsidR="00902D99">
        <w:br/>
      </w:r>
      <w:r w:rsidR="00902D99" w:rsidRPr="00902D99">
        <w:rPr>
          <w:rFonts w:hint="eastAsia"/>
          <w:b/>
          <w:bCs/>
          <w:color w:val="C00000"/>
        </w:rPr>
        <w:t>이때 반드시 1, 2번 밸브가 잠겨있어야 합니다.</w:t>
      </w:r>
    </w:p>
    <w:p w14:paraId="0CBA5223" w14:textId="62EDBCB7" w:rsidR="00902D99" w:rsidRDefault="00902D99" w:rsidP="00717743">
      <w:r>
        <w:rPr>
          <w:rFonts w:hint="eastAsia"/>
        </w:rPr>
        <w:t>3, 4번 밸브를 열면 보글거리는 소리를 들을 수 있으며 이는 용액 내 질소가스를 밀어 넣어 산소를 제거하는 과정입니다.</w:t>
      </w:r>
    </w:p>
    <w:p w14:paraId="67E96194" w14:textId="2AA88BB0" w:rsidR="00902D99" w:rsidRDefault="00902D99" w:rsidP="00902D99">
      <w:pPr>
        <w:jc w:val="left"/>
      </w:pPr>
      <w:r>
        <w:rPr>
          <w:rFonts w:hint="eastAsia"/>
        </w:rPr>
        <w:t>활성화되지 않은 닌하이드린 용액은 냉장보관 기준 6개월까지 사용 가능합니다.</w:t>
      </w:r>
    </w:p>
    <w:p w14:paraId="6CF9DA48" w14:textId="1F3649CF" w:rsidR="00902D99" w:rsidRPr="00902D99" w:rsidRDefault="00902D99" w:rsidP="00902D99">
      <w:pPr>
        <w:jc w:val="left"/>
        <w:rPr>
          <w:b/>
          <w:bCs/>
          <w:color w:val="C00000"/>
        </w:rPr>
      </w:pPr>
      <w:r w:rsidRPr="00902D99">
        <w:rPr>
          <w:rFonts w:hint="eastAsia"/>
          <w:b/>
          <w:bCs/>
          <w:color w:val="C00000"/>
        </w:rPr>
        <w:t xml:space="preserve">한번 활성화된 닌하이드린 용액은 활성화 이후 지속적인 열화 반응이 진행되며 </w:t>
      </w:r>
      <w:r w:rsidRPr="00902D99">
        <w:rPr>
          <w:b/>
          <w:bCs/>
          <w:color w:val="C00000"/>
        </w:rPr>
        <w:br/>
      </w:r>
      <w:r w:rsidRPr="00902D99">
        <w:rPr>
          <w:rFonts w:hint="eastAsia"/>
          <w:b/>
          <w:bCs/>
          <w:color w:val="C00000"/>
        </w:rPr>
        <w:t>3~4주 이후부터는 교체하시는 것을 추천드립니다.</w:t>
      </w:r>
    </w:p>
    <w:p w14:paraId="389E1937" w14:textId="77777777" w:rsidR="00902D99" w:rsidRPr="00902D99" w:rsidRDefault="00902D99" w:rsidP="00717743">
      <w:pPr>
        <w:rPr>
          <w:rFonts w:hint="eastAsia"/>
        </w:rPr>
      </w:pPr>
    </w:p>
    <w:p w14:paraId="440B5A45" w14:textId="18C853BD" w:rsidR="00717743" w:rsidRPr="00717743" w:rsidRDefault="00717743" w:rsidP="00717743">
      <w:pPr>
        <w:rPr>
          <w:rFonts w:hint="eastAsia"/>
        </w:rPr>
      </w:pPr>
    </w:p>
    <w:sectPr w:rsidR="00717743" w:rsidRPr="00717743" w:rsidSect="00C544A0">
      <w:headerReference w:type="default" r:id="rId9"/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024B7" w14:textId="77777777" w:rsidR="00254B42" w:rsidRDefault="00254B42" w:rsidP="0060570A">
      <w:pPr>
        <w:spacing w:after="0" w:line="240" w:lineRule="auto"/>
      </w:pPr>
      <w:r>
        <w:separator/>
      </w:r>
    </w:p>
  </w:endnote>
  <w:endnote w:type="continuationSeparator" w:id="0">
    <w:p w14:paraId="2382CB73" w14:textId="77777777" w:rsidR="00254B42" w:rsidRDefault="00254B42" w:rsidP="00605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4A21CE" w14:textId="77777777" w:rsidR="00254B42" w:rsidRDefault="00254B42" w:rsidP="0060570A">
      <w:pPr>
        <w:spacing w:after="0" w:line="240" w:lineRule="auto"/>
      </w:pPr>
      <w:r>
        <w:separator/>
      </w:r>
    </w:p>
  </w:footnote>
  <w:footnote w:type="continuationSeparator" w:id="0">
    <w:p w14:paraId="38B7F3AE" w14:textId="77777777" w:rsidR="00254B42" w:rsidRDefault="00254B42" w:rsidP="00605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d"/>
      <w:tblW w:w="10490" w:type="dxa"/>
      <w:tblBorders>
        <w:top w:val="thickThinLargeGap" w:sz="24" w:space="0" w:color="auto"/>
        <w:left w:val="thickThinLargeGap" w:sz="24" w:space="0" w:color="auto"/>
        <w:bottom w:val="thinThickLargeGap" w:sz="24" w:space="0" w:color="auto"/>
        <w:right w:val="thinThickLargeGap" w:sz="24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ook w:val="04A0" w:firstRow="1" w:lastRow="0" w:firstColumn="1" w:lastColumn="0" w:noHBand="0" w:noVBand="1"/>
    </w:tblPr>
    <w:tblGrid>
      <w:gridCol w:w="1128"/>
      <w:gridCol w:w="7276"/>
      <w:gridCol w:w="2086"/>
    </w:tblGrid>
    <w:tr w:rsidR="0060570A" w14:paraId="0B51D0CF" w14:textId="77777777" w:rsidTr="00C544A0">
      <w:tc>
        <w:tcPr>
          <w:tcW w:w="1128" w:type="dxa"/>
          <w:shd w:val="clear" w:color="auto" w:fill="FFFFFF" w:themeFill="background1"/>
        </w:tcPr>
        <w:p w14:paraId="515A3ACB" w14:textId="7417A875" w:rsidR="0060570A" w:rsidRDefault="0060570A" w:rsidP="00C544A0">
          <w:pPr>
            <w:pStyle w:val="aa"/>
            <w:rPr>
              <w:b/>
              <w:bCs/>
            </w:rPr>
          </w:pPr>
          <w:r>
            <w:rPr>
              <w:rFonts w:hint="eastAsia"/>
              <w:b/>
              <w:bCs/>
            </w:rPr>
            <w:t>문서 번호</w:t>
          </w:r>
        </w:p>
      </w:tc>
      <w:tc>
        <w:tcPr>
          <w:tcW w:w="7276" w:type="dxa"/>
          <w:shd w:val="clear" w:color="auto" w:fill="FFFFFF" w:themeFill="background1"/>
        </w:tcPr>
        <w:p w14:paraId="0D8E5989" w14:textId="4C735CC2" w:rsidR="0060570A" w:rsidRDefault="00C544A0" w:rsidP="00C544A0">
          <w:pPr>
            <w:pStyle w:val="aa"/>
            <w:rPr>
              <w:b/>
              <w:bCs/>
            </w:rPr>
          </w:pPr>
          <w:r>
            <w:rPr>
              <w:rFonts w:hint="eastAsia"/>
              <w:b/>
              <w:bCs/>
            </w:rPr>
            <w:t>문서 제목</w:t>
          </w:r>
        </w:p>
      </w:tc>
      <w:tc>
        <w:tcPr>
          <w:tcW w:w="2086" w:type="dxa"/>
          <w:shd w:val="clear" w:color="auto" w:fill="FFFFFF" w:themeFill="background1"/>
        </w:tcPr>
        <w:p w14:paraId="290DA3CE" w14:textId="26C9CAD6" w:rsidR="0060570A" w:rsidRDefault="00C544A0" w:rsidP="0060570A">
          <w:pPr>
            <w:pStyle w:val="aa"/>
            <w:jc w:val="center"/>
            <w:rPr>
              <w:b/>
              <w:bCs/>
            </w:rPr>
          </w:pPr>
          <w:r>
            <w:rPr>
              <w:rFonts w:hint="eastAsia"/>
              <w:b/>
              <w:bCs/>
            </w:rPr>
            <w:t>Version</w:t>
          </w:r>
        </w:p>
      </w:tc>
    </w:tr>
    <w:tr w:rsidR="0060570A" w14:paraId="2EECF9E9" w14:textId="77777777" w:rsidTr="00C544A0">
      <w:tc>
        <w:tcPr>
          <w:tcW w:w="1128" w:type="dxa"/>
          <w:shd w:val="clear" w:color="auto" w:fill="FFFFFF" w:themeFill="background1"/>
        </w:tcPr>
        <w:p w14:paraId="5CC446CD" w14:textId="0528BACC" w:rsidR="0060570A" w:rsidRPr="00C544A0" w:rsidRDefault="0060570A" w:rsidP="00C544A0">
          <w:pPr>
            <w:pStyle w:val="aa"/>
          </w:pPr>
          <w:r w:rsidRPr="00C544A0">
            <w:rPr>
              <w:rFonts w:hint="eastAsia"/>
              <w:sz w:val="16"/>
              <w:szCs w:val="18"/>
            </w:rPr>
            <w:t>AJ_DOC_011</w:t>
          </w:r>
        </w:p>
      </w:tc>
      <w:tc>
        <w:tcPr>
          <w:tcW w:w="7276" w:type="dxa"/>
          <w:shd w:val="clear" w:color="auto" w:fill="FFFFFF" w:themeFill="background1"/>
        </w:tcPr>
        <w:p w14:paraId="70DD09C0" w14:textId="45800373" w:rsidR="0060570A" w:rsidRPr="00C544A0" w:rsidRDefault="00C544A0" w:rsidP="00C544A0">
          <w:pPr>
            <w:pStyle w:val="aa"/>
          </w:pPr>
          <w:r w:rsidRPr="00C544A0">
            <w:rPr>
              <w:rFonts w:hint="eastAsia"/>
            </w:rPr>
            <w:t>닌하이드린 반응액 변경 건</w:t>
          </w:r>
        </w:p>
      </w:tc>
      <w:tc>
        <w:tcPr>
          <w:tcW w:w="2086" w:type="dxa"/>
          <w:shd w:val="clear" w:color="auto" w:fill="FFFFFF" w:themeFill="background1"/>
        </w:tcPr>
        <w:p w14:paraId="6ACBFE70" w14:textId="04E5A3C1" w:rsidR="0060570A" w:rsidRPr="00C544A0" w:rsidRDefault="00C544A0" w:rsidP="0060570A">
          <w:pPr>
            <w:pStyle w:val="aa"/>
            <w:jc w:val="center"/>
          </w:pPr>
          <w:r w:rsidRPr="00C544A0">
            <w:rPr>
              <w:rFonts w:hint="eastAsia"/>
            </w:rPr>
            <w:t xml:space="preserve">1.0 </w:t>
          </w:r>
        </w:p>
      </w:tc>
    </w:tr>
  </w:tbl>
  <w:p w14:paraId="2E393439" w14:textId="6E6DC1DE" w:rsidR="0060570A" w:rsidRPr="0060570A" w:rsidRDefault="0060570A" w:rsidP="0060570A">
    <w:pPr>
      <w:pStyle w:val="aa"/>
      <w:jc w:val="center"/>
      <w:rPr>
        <w:b/>
        <w:bCs/>
      </w:rPr>
    </w:pPr>
    <w:r w:rsidRPr="0060570A">
      <w:rPr>
        <w:b/>
        <w:bCs/>
        <w:noProof/>
      </w:rPr>
      <w:drawing>
        <wp:anchor distT="0" distB="0" distL="114300" distR="114300" simplePos="0" relativeHeight="251660800" behindDoc="0" locked="0" layoutInCell="1" allowOverlap="1" wp14:anchorId="2CA44F70" wp14:editId="34477A03">
          <wp:simplePos x="0" y="0"/>
          <wp:positionH relativeFrom="column">
            <wp:posOffset>4991735</wp:posOffset>
          </wp:positionH>
          <wp:positionV relativeFrom="paragraph">
            <wp:posOffset>-980440</wp:posOffset>
          </wp:positionV>
          <wp:extent cx="1565910" cy="438150"/>
          <wp:effectExtent l="0" t="0" r="0" b="0"/>
          <wp:wrapNone/>
          <wp:docPr id="272564238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91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71636F"/>
    <w:multiLevelType w:val="hybridMultilevel"/>
    <w:tmpl w:val="07F48CB4"/>
    <w:lvl w:ilvl="0" w:tplc="977E53B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63C129BE"/>
    <w:multiLevelType w:val="hybridMultilevel"/>
    <w:tmpl w:val="7004E794"/>
    <w:lvl w:ilvl="0" w:tplc="67E2C87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47062B9"/>
    <w:multiLevelType w:val="hybridMultilevel"/>
    <w:tmpl w:val="B81CBFE2"/>
    <w:lvl w:ilvl="0" w:tplc="3090678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51004395">
    <w:abstractNumId w:val="0"/>
  </w:num>
  <w:num w:numId="2" w16cid:durableId="540629895">
    <w:abstractNumId w:val="2"/>
  </w:num>
  <w:num w:numId="3" w16cid:durableId="1561477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efaultTabStop w:val="800"/>
  <w:characterSpacingControl w:val="doNotCompress"/>
  <w:hdrShapeDefaults>
    <o:shapedefaults v:ext="edit" spidmax="2050" fillcolor="#92d050" stroke="f">
      <v:fill color="#92d050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70A"/>
    <w:rsid w:val="00017F26"/>
    <w:rsid w:val="00100E42"/>
    <w:rsid w:val="00105321"/>
    <w:rsid w:val="00254B42"/>
    <w:rsid w:val="0060570A"/>
    <w:rsid w:val="006D1FE7"/>
    <w:rsid w:val="00717743"/>
    <w:rsid w:val="007E000C"/>
    <w:rsid w:val="00902D99"/>
    <w:rsid w:val="0098401F"/>
    <w:rsid w:val="00C544A0"/>
    <w:rsid w:val="00DB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2d050" stroke="f">
      <v:fill color="#92d050"/>
      <v:stroke on="f"/>
    </o:shapedefaults>
    <o:shapelayout v:ext="edit">
      <o:idmap v:ext="edit" data="2"/>
    </o:shapelayout>
  </w:shapeDefaults>
  <w:decimalSymbol w:val="."/>
  <w:listSeparator w:val=","/>
  <w14:docId w14:val="4E551A4B"/>
  <w15:chartTrackingRefBased/>
  <w15:docId w15:val="{938C0762-AF45-4BAE-8600-9E729C5AF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0570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057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0570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0570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0570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0570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0570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0570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0570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0570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0570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0570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6057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057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057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057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057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0570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0570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057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0570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0570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057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0570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0570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0570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0570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0570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0570A"/>
    <w:rPr>
      <w:b/>
      <w:bCs/>
      <w:smallCaps/>
      <w:color w:val="365F9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0570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60570A"/>
  </w:style>
  <w:style w:type="paragraph" w:styleId="ab">
    <w:name w:val="footer"/>
    <w:basedOn w:val="a"/>
    <w:link w:val="Char4"/>
    <w:uiPriority w:val="99"/>
    <w:unhideWhenUsed/>
    <w:rsid w:val="0060570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60570A"/>
  </w:style>
  <w:style w:type="character" w:styleId="ac">
    <w:name w:val="Placeholder Text"/>
    <w:basedOn w:val="a0"/>
    <w:uiPriority w:val="99"/>
    <w:semiHidden/>
    <w:rsid w:val="0060570A"/>
    <w:rPr>
      <w:color w:val="666666"/>
    </w:rPr>
  </w:style>
  <w:style w:type="table" w:styleId="ad">
    <w:name w:val="Table Grid"/>
    <w:basedOn w:val="a1"/>
    <w:uiPriority w:val="59"/>
    <w:rsid w:val="00605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D9A5E-8C28-411A-8053-5541B9561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하성웅</dc:creator>
  <cp:keywords/>
  <dc:description/>
  <cp:lastModifiedBy>하성웅</cp:lastModifiedBy>
  <cp:revision>3</cp:revision>
  <dcterms:created xsi:type="dcterms:W3CDTF">2024-06-04T01:59:00Z</dcterms:created>
  <dcterms:modified xsi:type="dcterms:W3CDTF">2024-06-11T05:55:00Z</dcterms:modified>
</cp:coreProperties>
</file>